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tl w:val="0"/>
        </w:rPr>
      </w:r>
    </w:p>
    <w:tbl>
      <w:tblPr>
        <w:tblStyle w:val="Table1"/>
        <w:tblW w:w="10035.0" w:type="dxa"/>
        <w:jc w:val="center"/>
        <w:tblLayout w:type="fixed"/>
        <w:tblLook w:val="0000"/>
      </w:tblPr>
      <w:tblGrid>
        <w:gridCol w:w="2700"/>
        <w:gridCol w:w="2940"/>
        <w:gridCol w:w="4395"/>
        <w:tblGridChange w:id="0">
          <w:tblGrid>
            <w:gridCol w:w="2700"/>
            <w:gridCol w:w="2940"/>
            <w:gridCol w:w="4395"/>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INFRAESTRUCTURA</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pPr>
            <w:r w:rsidDel="00000000" w:rsidR="00000000" w:rsidRPr="00000000">
              <w:rPr>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profesionales en la Secretaria del Deporte y la Recreación del proyecto denominado Conservación de la infraestructura deportiva y recreativa del distrito especial de Santiago de Cali BP – 26005399.</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4162.010.26.1.4735-2025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rtl w:val="0"/>
              </w:rPr>
              <w:t xml:space="preserve">KRYSTHIAN DAVID RAMIREZ MUNEVAR</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MAYRA ALEJANDRA YAGUE ORDOÑEZ</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1107093010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$16.335.000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14/Nov/2025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pPr>
            <w:r w:rsidDel="00000000" w:rsidR="00000000" w:rsidRPr="00000000">
              <w:rPr>
                <w:rtl w:val="0"/>
              </w:rPr>
              <w:t xml:space="preserve">SEGURIDAD SOCIAL</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(X)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$2.178.000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2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1077554894</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F">
            <w:pPr>
              <w:widowControl w:val="1"/>
              <w:rPr>
                <w:rFonts w:ascii="Arial" w:cs="Arial" w:eastAsia="Arial" w:hAnsi="Arial"/>
                <w:color w:val="000000"/>
              </w:rPr>
            </w:pPr>
            <w:r w:rsidDel="00000000" w:rsidR="00000000" w:rsidRPr="00000000">
              <w:rPr>
                <w:rFonts w:ascii="Arial" w:cs="Arial" w:eastAsia="Arial" w:hAnsi="Arial"/>
                <w:rtl w:val="0"/>
              </w:rPr>
              <w:t xml:space="preserve">1972634635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02/Dic/2025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Diciembre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A">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(03)</w:t>
            </w:r>
          </w:p>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E">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1">
            <w:pPr>
              <w:jc w:val="both"/>
              <w:rPr>
                <w:rFonts w:ascii="Arial" w:cs="Arial" w:eastAsia="Arial" w:hAnsi="Arial"/>
              </w:rPr>
            </w:pPr>
            <w:r w:rsidDel="00000000" w:rsidR="00000000" w:rsidRPr="00000000">
              <w:rPr>
                <w:rFonts w:ascii="Arial" w:cs="Arial" w:eastAsia="Arial" w:hAnsi="Arial"/>
                <w:rtl w:val="0"/>
              </w:rPr>
              <w:t xml:space="preserve">1. Ejecutar acciones de gestión de la calidad orientadas a favorecer el uso adecuado de la infraestructura deportiva y recreativa del Distrito Especial de Santiago de Cali, garantizando el cumplimiento de criterios de seguridad, accesibilidad e inclusión. Para tal fin, se llevará a cabo autodiagnóstico, revisión documental y visitas en campo, con el propósito de analizar el desempeño institucional, identificar brechas y asegurar la mejora continua de los procesos en las diferentes líneas de servicio. </w:t>
            </w:r>
          </w:p>
          <w:p w:rsidR="00000000" w:rsidDel="00000000" w:rsidP="00000000" w:rsidRDefault="00000000" w:rsidRPr="00000000" w14:paraId="00000042">
            <w:pPr>
              <w:jc w:val="both"/>
              <w:rPr>
                <w:rFonts w:ascii="Arial" w:cs="Arial" w:eastAsia="Arial" w:hAnsi="Arial"/>
              </w:rPr>
            </w:pPr>
            <w:r w:rsidDel="00000000" w:rsidR="00000000" w:rsidRPr="00000000">
              <w:rPr>
                <w:rtl w:val="0"/>
              </w:rPr>
            </w:r>
          </w:p>
          <w:p w:rsidR="00000000" w:rsidDel="00000000" w:rsidP="00000000" w:rsidRDefault="00000000" w:rsidRPr="00000000" w14:paraId="00000043">
            <w:pPr>
              <w:jc w:val="both"/>
              <w:rPr>
                <w:rFonts w:ascii="Arial" w:cs="Arial" w:eastAsia="Arial" w:hAnsi="Arial"/>
                <w:color w:val="000000"/>
              </w:rPr>
            </w:pPr>
            <w:r w:rsidDel="00000000" w:rsidR="00000000" w:rsidRPr="00000000">
              <w:rPr>
                <w:rFonts w:ascii="Arial" w:cs="Arial" w:eastAsia="Arial" w:hAnsi="Arial"/>
                <w:color w:val="000000"/>
                <w:rtl w:val="0"/>
              </w:rPr>
              <w:t xml:space="preserve">2. Realizar la elaboración de la documentación, registros, informes, planes de mejoramiento, roles y responsabilidades del Sistema de Gestión de Calidad SGC para las líneas de servicio asignadas.</w:t>
            </w:r>
          </w:p>
          <w:p w:rsidR="00000000" w:rsidDel="00000000" w:rsidP="00000000" w:rsidRDefault="00000000" w:rsidRPr="00000000" w14:paraId="00000044">
            <w:pPr>
              <w:jc w:val="both"/>
              <w:rPr>
                <w:rFonts w:ascii="Arial" w:cs="Arial" w:eastAsia="Arial" w:hAnsi="Arial"/>
              </w:rPr>
            </w:pPr>
            <w:r w:rsidDel="00000000" w:rsidR="00000000" w:rsidRPr="00000000">
              <w:rPr>
                <w:rtl w:val="0"/>
              </w:rPr>
            </w:r>
          </w:p>
          <w:p w:rsidR="00000000" w:rsidDel="00000000" w:rsidP="00000000" w:rsidRDefault="00000000" w:rsidRPr="00000000" w14:paraId="00000045">
            <w:pPr>
              <w:jc w:val="both"/>
              <w:rPr>
                <w:rFonts w:ascii="Arial" w:cs="Arial" w:eastAsia="Arial" w:hAnsi="Arial"/>
              </w:rPr>
            </w:pPr>
            <w:r w:rsidDel="00000000" w:rsidR="00000000" w:rsidRPr="00000000">
              <w:rPr>
                <w:rtl w:val="0"/>
              </w:rPr>
            </w:r>
          </w:p>
          <w:p w:rsidR="00000000" w:rsidDel="00000000" w:rsidP="00000000" w:rsidRDefault="00000000" w:rsidRPr="00000000" w14:paraId="00000046">
            <w:pPr>
              <w:jc w:val="both"/>
              <w:rPr>
                <w:rFonts w:ascii="Arial" w:cs="Arial" w:eastAsia="Arial" w:hAnsi="Arial"/>
              </w:rPr>
            </w:pPr>
            <w:r w:rsidDel="00000000" w:rsidR="00000000" w:rsidRPr="00000000">
              <w:rPr>
                <w:rtl w:val="0"/>
              </w:rPr>
            </w:r>
          </w:p>
          <w:p w:rsidR="00000000" w:rsidDel="00000000" w:rsidP="00000000" w:rsidRDefault="00000000" w:rsidRPr="00000000" w14:paraId="00000047">
            <w:pPr>
              <w:jc w:val="both"/>
              <w:rPr>
                <w:rFonts w:ascii="Arial" w:cs="Arial" w:eastAsia="Arial" w:hAnsi="Arial"/>
              </w:rPr>
            </w:pPr>
            <w:r w:rsidDel="00000000" w:rsidR="00000000" w:rsidRPr="00000000">
              <w:rPr>
                <w:rtl w:val="0"/>
              </w:rPr>
            </w:r>
          </w:p>
          <w:p w:rsidR="00000000" w:rsidDel="00000000" w:rsidP="00000000" w:rsidRDefault="00000000" w:rsidRPr="00000000" w14:paraId="00000048">
            <w:pPr>
              <w:jc w:val="both"/>
              <w:rPr>
                <w:rFonts w:ascii="Arial" w:cs="Arial" w:eastAsia="Arial" w:hAnsi="Arial"/>
              </w:rPr>
            </w:pPr>
            <w:r w:rsidDel="00000000" w:rsidR="00000000" w:rsidRPr="00000000">
              <w:rPr>
                <w:rtl w:val="0"/>
              </w:rPr>
            </w:r>
          </w:p>
          <w:p w:rsidR="00000000" w:rsidDel="00000000" w:rsidP="00000000" w:rsidRDefault="00000000" w:rsidRPr="00000000" w14:paraId="00000049">
            <w:pPr>
              <w:jc w:val="both"/>
              <w:rPr>
                <w:rFonts w:ascii="Arial" w:cs="Arial" w:eastAsia="Arial" w:hAnsi="Arial"/>
              </w:rPr>
            </w:pPr>
            <w:r w:rsidDel="00000000" w:rsidR="00000000" w:rsidRPr="00000000">
              <w:rPr>
                <w:rtl w:val="0"/>
              </w:rPr>
            </w:r>
          </w:p>
          <w:p w:rsidR="00000000" w:rsidDel="00000000" w:rsidP="00000000" w:rsidRDefault="00000000" w:rsidRPr="00000000" w14:paraId="0000004A">
            <w:pPr>
              <w:jc w:val="both"/>
              <w:rPr>
                <w:rFonts w:ascii="Arial" w:cs="Arial" w:eastAsia="Arial" w:hAnsi="Arial"/>
              </w:rPr>
            </w:pPr>
            <w:r w:rsidDel="00000000" w:rsidR="00000000" w:rsidRPr="00000000">
              <w:rPr>
                <w:rtl w:val="0"/>
              </w:rPr>
            </w:r>
          </w:p>
          <w:p w:rsidR="00000000" w:rsidDel="00000000" w:rsidP="00000000" w:rsidRDefault="00000000" w:rsidRPr="00000000" w14:paraId="0000004B">
            <w:pPr>
              <w:jc w:val="both"/>
              <w:rPr>
                <w:rFonts w:ascii="Arial" w:cs="Arial" w:eastAsia="Arial" w:hAnsi="Arial"/>
              </w:rPr>
            </w:pPr>
            <w:r w:rsidDel="00000000" w:rsidR="00000000" w:rsidRPr="00000000">
              <w:rPr>
                <w:rtl w:val="0"/>
              </w:rPr>
            </w:r>
          </w:p>
          <w:p w:rsidR="00000000" w:rsidDel="00000000" w:rsidP="00000000" w:rsidRDefault="00000000" w:rsidRPr="00000000" w14:paraId="0000004C">
            <w:pPr>
              <w:jc w:val="both"/>
              <w:rPr>
                <w:rFonts w:ascii="Arial" w:cs="Arial" w:eastAsia="Arial" w:hAnsi="Arial"/>
              </w:rPr>
            </w:pPr>
            <w:r w:rsidDel="00000000" w:rsidR="00000000" w:rsidRPr="00000000">
              <w:rPr>
                <w:rtl w:val="0"/>
              </w:rPr>
            </w:r>
          </w:p>
          <w:p w:rsidR="00000000" w:rsidDel="00000000" w:rsidP="00000000" w:rsidRDefault="00000000" w:rsidRPr="00000000" w14:paraId="0000004D">
            <w:pPr>
              <w:jc w:val="both"/>
              <w:rPr>
                <w:rFonts w:ascii="Arial" w:cs="Arial" w:eastAsia="Arial" w:hAnsi="Arial"/>
              </w:rPr>
            </w:pPr>
            <w:r w:rsidDel="00000000" w:rsidR="00000000" w:rsidRPr="00000000">
              <w:rPr>
                <w:rtl w:val="0"/>
              </w:rPr>
            </w:r>
          </w:p>
          <w:p w:rsidR="00000000" w:rsidDel="00000000" w:rsidP="00000000" w:rsidRDefault="00000000" w:rsidRPr="00000000" w14:paraId="0000004E">
            <w:pPr>
              <w:jc w:val="both"/>
              <w:rPr>
                <w:rFonts w:ascii="Arial" w:cs="Arial" w:eastAsia="Arial" w:hAnsi="Arial"/>
              </w:rPr>
            </w:pPr>
            <w:r w:rsidDel="00000000" w:rsidR="00000000" w:rsidRPr="00000000">
              <w:rPr>
                <w:rtl w:val="0"/>
              </w:rPr>
            </w:r>
          </w:p>
          <w:p w:rsidR="00000000" w:rsidDel="00000000" w:rsidP="00000000" w:rsidRDefault="00000000" w:rsidRPr="00000000" w14:paraId="0000004F">
            <w:pPr>
              <w:jc w:val="both"/>
              <w:rPr>
                <w:rFonts w:ascii="Arial" w:cs="Arial" w:eastAsia="Arial" w:hAnsi="Arial"/>
              </w:rPr>
            </w:pPr>
            <w:r w:rsidDel="00000000" w:rsidR="00000000" w:rsidRPr="00000000">
              <w:rPr>
                <w:rtl w:val="0"/>
              </w:rPr>
            </w:r>
          </w:p>
          <w:p w:rsidR="00000000" w:rsidDel="00000000" w:rsidP="00000000" w:rsidRDefault="00000000" w:rsidRPr="00000000" w14:paraId="00000050">
            <w:pPr>
              <w:jc w:val="both"/>
              <w:rPr>
                <w:rFonts w:ascii="Arial" w:cs="Arial" w:eastAsia="Arial" w:hAnsi="Arial"/>
              </w:rPr>
            </w:pPr>
            <w:r w:rsidDel="00000000" w:rsidR="00000000" w:rsidRPr="00000000">
              <w:rPr>
                <w:rtl w:val="0"/>
              </w:rPr>
            </w:r>
          </w:p>
          <w:p w:rsidR="00000000" w:rsidDel="00000000" w:rsidP="00000000" w:rsidRDefault="00000000" w:rsidRPr="00000000" w14:paraId="00000051">
            <w:pPr>
              <w:jc w:val="both"/>
              <w:rPr>
                <w:rFonts w:ascii="Arial" w:cs="Arial" w:eastAsia="Arial" w:hAnsi="Arial"/>
              </w:rPr>
            </w:pPr>
            <w:r w:rsidDel="00000000" w:rsidR="00000000" w:rsidRPr="00000000">
              <w:rPr>
                <w:rtl w:val="0"/>
              </w:rPr>
            </w:r>
          </w:p>
          <w:p w:rsidR="00000000" w:rsidDel="00000000" w:rsidP="00000000" w:rsidRDefault="00000000" w:rsidRPr="00000000" w14:paraId="00000052">
            <w:pPr>
              <w:jc w:val="both"/>
              <w:rPr>
                <w:rFonts w:ascii="Arial" w:cs="Arial" w:eastAsia="Arial" w:hAnsi="Arial"/>
              </w:rPr>
            </w:pPr>
            <w:r w:rsidDel="00000000" w:rsidR="00000000" w:rsidRPr="00000000">
              <w:rPr>
                <w:rtl w:val="0"/>
              </w:rPr>
            </w:r>
          </w:p>
          <w:p w:rsidR="00000000" w:rsidDel="00000000" w:rsidP="00000000" w:rsidRDefault="00000000" w:rsidRPr="00000000" w14:paraId="00000053">
            <w:pPr>
              <w:jc w:val="both"/>
              <w:rPr>
                <w:rFonts w:ascii="Arial" w:cs="Arial" w:eastAsia="Arial" w:hAnsi="Arial"/>
              </w:rPr>
            </w:pPr>
            <w:r w:rsidDel="00000000" w:rsidR="00000000" w:rsidRPr="00000000">
              <w:rPr>
                <w:rtl w:val="0"/>
              </w:rPr>
            </w:r>
          </w:p>
          <w:p w:rsidR="00000000" w:rsidDel="00000000" w:rsidP="00000000" w:rsidRDefault="00000000" w:rsidRPr="00000000" w14:paraId="00000054">
            <w:pPr>
              <w:jc w:val="both"/>
              <w:rPr>
                <w:rFonts w:ascii="Arial" w:cs="Arial" w:eastAsia="Arial" w:hAnsi="Arial"/>
              </w:rPr>
            </w:pPr>
            <w:r w:rsidDel="00000000" w:rsidR="00000000" w:rsidRPr="00000000">
              <w:rPr>
                <w:rtl w:val="0"/>
              </w:rPr>
            </w:r>
          </w:p>
          <w:p w:rsidR="00000000" w:rsidDel="00000000" w:rsidP="00000000" w:rsidRDefault="00000000" w:rsidRPr="00000000" w14:paraId="00000055">
            <w:pPr>
              <w:jc w:val="both"/>
              <w:rPr>
                <w:rFonts w:ascii="Arial" w:cs="Arial" w:eastAsia="Arial" w:hAnsi="Arial"/>
              </w:rPr>
            </w:pPr>
            <w:r w:rsidDel="00000000" w:rsidR="00000000" w:rsidRPr="00000000">
              <w:rPr>
                <w:rtl w:val="0"/>
              </w:rPr>
            </w:r>
          </w:p>
          <w:p w:rsidR="00000000" w:rsidDel="00000000" w:rsidP="00000000" w:rsidRDefault="00000000" w:rsidRPr="00000000" w14:paraId="00000056">
            <w:pPr>
              <w:jc w:val="both"/>
              <w:rPr>
                <w:rFonts w:ascii="Arial" w:cs="Arial" w:eastAsia="Arial" w:hAnsi="Arial"/>
              </w:rPr>
            </w:pPr>
            <w:r w:rsidDel="00000000" w:rsidR="00000000" w:rsidRPr="00000000">
              <w:rPr>
                <w:rtl w:val="0"/>
              </w:rPr>
            </w:r>
          </w:p>
          <w:p w:rsidR="00000000" w:rsidDel="00000000" w:rsidP="00000000" w:rsidRDefault="00000000" w:rsidRPr="00000000" w14:paraId="00000057">
            <w:pPr>
              <w:jc w:val="both"/>
              <w:rPr>
                <w:rFonts w:ascii="Arial" w:cs="Arial" w:eastAsia="Arial" w:hAnsi="Arial"/>
              </w:rPr>
            </w:pPr>
            <w:r w:rsidDel="00000000" w:rsidR="00000000" w:rsidRPr="00000000">
              <w:rPr>
                <w:rtl w:val="0"/>
              </w:rPr>
            </w:r>
          </w:p>
          <w:p w:rsidR="00000000" w:rsidDel="00000000" w:rsidP="00000000" w:rsidRDefault="00000000" w:rsidRPr="00000000" w14:paraId="00000058">
            <w:pPr>
              <w:jc w:val="both"/>
              <w:rPr>
                <w:rFonts w:ascii="Arial" w:cs="Arial" w:eastAsia="Arial" w:hAnsi="Arial"/>
              </w:rPr>
            </w:pPr>
            <w:r w:rsidDel="00000000" w:rsidR="00000000" w:rsidRPr="00000000">
              <w:rPr>
                <w:rtl w:val="0"/>
              </w:rPr>
            </w:r>
          </w:p>
          <w:p w:rsidR="00000000" w:rsidDel="00000000" w:rsidP="00000000" w:rsidRDefault="00000000" w:rsidRPr="00000000" w14:paraId="00000059">
            <w:pPr>
              <w:jc w:val="both"/>
              <w:rPr>
                <w:rFonts w:ascii="Arial" w:cs="Arial" w:eastAsia="Arial" w:hAnsi="Arial"/>
                <w:color w:val="000000"/>
              </w:rPr>
            </w:pPr>
            <w:r w:rsidDel="00000000" w:rsidR="00000000" w:rsidRPr="00000000">
              <w:rPr>
                <w:rFonts w:ascii="Arial" w:cs="Arial" w:eastAsia="Arial" w:hAnsi="Arial"/>
                <w:color w:val="000000"/>
                <w:rtl w:val="0"/>
              </w:rPr>
              <w:t xml:space="preserve">3. Realizar el desarrollo de las auditorías internas y externas recibidas en el organismo con respecto al cumplimiento de la NTC ISO 9001:2015 cada vez que se requiera en las líneas de servicio.</w:t>
            </w:r>
          </w:p>
          <w:p w:rsidR="00000000" w:rsidDel="00000000" w:rsidP="00000000" w:rsidRDefault="00000000" w:rsidRPr="00000000" w14:paraId="0000005A">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B">
            <w:pPr>
              <w:jc w:val="both"/>
              <w:rPr>
                <w:rFonts w:ascii="Arial" w:cs="Arial" w:eastAsia="Arial" w:hAnsi="Arial"/>
                <w:color w:val="000000"/>
              </w:rPr>
            </w:pPr>
            <w:r w:rsidDel="00000000" w:rsidR="00000000" w:rsidRPr="00000000">
              <w:rPr>
                <w:rFonts w:ascii="Arial" w:cs="Arial" w:eastAsia="Arial" w:hAnsi="Arial"/>
                <w:color w:val="000000"/>
                <w:rtl w:val="0"/>
              </w:rPr>
              <w:t xml:space="preserve">4. Realizar el levantamiento de información de la herramienta de control (objetivos de Calidad y Salidas no conformes), de acuerdo a los lineamientos del DADDI. </w:t>
            </w:r>
          </w:p>
          <w:p w:rsidR="00000000" w:rsidDel="00000000" w:rsidP="00000000" w:rsidRDefault="00000000" w:rsidRPr="00000000" w14:paraId="0000005C">
            <w:pPr>
              <w:jc w:val="both"/>
              <w:rPr>
                <w:rFonts w:ascii="Arial" w:cs="Arial" w:eastAsia="Arial" w:hAnsi="Arial"/>
              </w:rPr>
            </w:pPr>
            <w:r w:rsidDel="00000000" w:rsidR="00000000" w:rsidRPr="00000000">
              <w:rPr>
                <w:rtl w:val="0"/>
              </w:rPr>
            </w:r>
          </w:p>
          <w:p w:rsidR="00000000" w:rsidDel="00000000" w:rsidP="00000000" w:rsidRDefault="00000000" w:rsidRPr="00000000" w14:paraId="0000005D">
            <w:pPr>
              <w:jc w:val="both"/>
              <w:rPr>
                <w:rFonts w:ascii="Arial" w:cs="Arial" w:eastAsia="Arial" w:hAnsi="Arial"/>
              </w:rPr>
            </w:pPr>
            <w:r w:rsidDel="00000000" w:rsidR="00000000" w:rsidRPr="00000000">
              <w:rPr>
                <w:rtl w:val="0"/>
              </w:rPr>
            </w:r>
          </w:p>
          <w:p w:rsidR="00000000" w:rsidDel="00000000" w:rsidP="00000000" w:rsidRDefault="00000000" w:rsidRPr="00000000" w14:paraId="0000005E">
            <w:pPr>
              <w:jc w:val="both"/>
              <w:rPr>
                <w:rFonts w:ascii="Arial" w:cs="Arial" w:eastAsia="Arial" w:hAnsi="Arial"/>
              </w:rPr>
            </w:pPr>
            <w:r w:rsidDel="00000000" w:rsidR="00000000" w:rsidRPr="00000000">
              <w:rPr>
                <w:rtl w:val="0"/>
              </w:rPr>
            </w:r>
          </w:p>
          <w:p w:rsidR="00000000" w:rsidDel="00000000" w:rsidP="00000000" w:rsidRDefault="00000000" w:rsidRPr="00000000" w14:paraId="0000005F">
            <w:pPr>
              <w:jc w:val="both"/>
              <w:rPr>
                <w:rFonts w:ascii="Arial" w:cs="Arial" w:eastAsia="Arial" w:hAnsi="Arial"/>
              </w:rPr>
            </w:pPr>
            <w:r w:rsidDel="00000000" w:rsidR="00000000" w:rsidRPr="00000000">
              <w:rPr>
                <w:rtl w:val="0"/>
              </w:rPr>
            </w:r>
          </w:p>
          <w:p w:rsidR="00000000" w:rsidDel="00000000" w:rsidP="00000000" w:rsidRDefault="00000000" w:rsidRPr="00000000" w14:paraId="00000060">
            <w:pPr>
              <w:jc w:val="both"/>
              <w:rPr>
                <w:rFonts w:ascii="Arial" w:cs="Arial" w:eastAsia="Arial" w:hAnsi="Arial"/>
              </w:rPr>
            </w:pPr>
            <w:r w:rsidDel="00000000" w:rsidR="00000000" w:rsidRPr="00000000">
              <w:rPr>
                <w:rtl w:val="0"/>
              </w:rPr>
            </w:r>
          </w:p>
          <w:p w:rsidR="00000000" w:rsidDel="00000000" w:rsidP="00000000" w:rsidRDefault="00000000" w:rsidRPr="00000000" w14:paraId="00000061">
            <w:pPr>
              <w:jc w:val="both"/>
              <w:rPr>
                <w:rFonts w:ascii="Arial" w:cs="Arial" w:eastAsia="Arial" w:hAnsi="Arial"/>
              </w:rPr>
            </w:pPr>
            <w:r w:rsidDel="00000000" w:rsidR="00000000" w:rsidRPr="00000000">
              <w:rPr>
                <w:rtl w:val="0"/>
              </w:rPr>
            </w:r>
          </w:p>
          <w:p w:rsidR="00000000" w:rsidDel="00000000" w:rsidP="00000000" w:rsidRDefault="00000000" w:rsidRPr="00000000" w14:paraId="00000062">
            <w:pPr>
              <w:jc w:val="both"/>
              <w:rPr>
                <w:rFonts w:ascii="Arial" w:cs="Arial" w:eastAsia="Arial" w:hAnsi="Arial"/>
              </w:rPr>
            </w:pPr>
            <w:r w:rsidDel="00000000" w:rsidR="00000000" w:rsidRPr="00000000">
              <w:rPr>
                <w:rtl w:val="0"/>
              </w:rPr>
            </w:r>
          </w:p>
          <w:p w:rsidR="00000000" w:rsidDel="00000000" w:rsidP="00000000" w:rsidRDefault="00000000" w:rsidRPr="00000000" w14:paraId="00000063">
            <w:pPr>
              <w:jc w:val="both"/>
              <w:rPr>
                <w:rFonts w:ascii="Arial" w:cs="Arial" w:eastAsia="Arial" w:hAnsi="Arial"/>
              </w:rPr>
            </w:pPr>
            <w:r w:rsidDel="00000000" w:rsidR="00000000" w:rsidRPr="00000000">
              <w:rPr>
                <w:rtl w:val="0"/>
              </w:rPr>
            </w:r>
          </w:p>
          <w:p w:rsidR="00000000" w:rsidDel="00000000" w:rsidP="00000000" w:rsidRDefault="00000000" w:rsidRPr="00000000" w14:paraId="00000064">
            <w:pPr>
              <w:jc w:val="both"/>
              <w:rPr>
                <w:rFonts w:ascii="Arial" w:cs="Arial" w:eastAsia="Arial" w:hAnsi="Arial"/>
              </w:rPr>
            </w:pPr>
            <w:r w:rsidDel="00000000" w:rsidR="00000000" w:rsidRPr="00000000">
              <w:rPr>
                <w:rtl w:val="0"/>
              </w:rPr>
            </w:r>
          </w:p>
          <w:p w:rsidR="00000000" w:rsidDel="00000000" w:rsidP="00000000" w:rsidRDefault="00000000" w:rsidRPr="00000000" w14:paraId="00000065">
            <w:pPr>
              <w:jc w:val="both"/>
              <w:rPr>
                <w:rFonts w:ascii="Arial" w:cs="Arial" w:eastAsia="Arial" w:hAnsi="Arial"/>
                <w:color w:val="000000"/>
              </w:rPr>
            </w:pPr>
            <w:r w:rsidDel="00000000" w:rsidR="00000000" w:rsidRPr="00000000">
              <w:rPr>
                <w:rFonts w:ascii="Arial" w:cs="Arial" w:eastAsia="Arial" w:hAnsi="Arial"/>
                <w:color w:val="000000"/>
                <w:rtl w:val="0"/>
              </w:rPr>
              <w:t xml:space="preserve">5. Las demás relacionadas con el desarrollo del objeto contractual.</w:t>
            </w:r>
          </w:p>
          <w:p w:rsidR="00000000" w:rsidDel="00000000" w:rsidP="00000000" w:rsidRDefault="00000000" w:rsidRPr="00000000" w14:paraId="00000066">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7">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8">
            <w:pPr>
              <w:jc w:val="both"/>
              <w:rPr>
                <w:rFonts w:ascii="Arial" w:cs="Arial" w:eastAsia="Arial" w:hAnsi="Arial"/>
              </w:rPr>
            </w:pPr>
            <w:r w:rsidDel="00000000" w:rsidR="00000000" w:rsidRPr="00000000">
              <w:rPr>
                <w:rtl w:val="0"/>
              </w:rPr>
            </w:r>
          </w:p>
          <w:p w:rsidR="00000000" w:rsidDel="00000000" w:rsidP="00000000" w:rsidRDefault="00000000" w:rsidRPr="00000000" w14:paraId="00000069">
            <w:pPr>
              <w:jc w:val="both"/>
              <w:rPr>
                <w:rFonts w:ascii="Arial" w:cs="Arial" w:eastAsia="Arial" w:hAnsi="Arial"/>
              </w:rPr>
            </w:pPr>
            <w:r w:rsidDel="00000000" w:rsidR="00000000" w:rsidRPr="00000000">
              <w:rPr>
                <w:rtl w:val="0"/>
              </w:rPr>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c>
          <w:tcPr>
            <w:tcBorders>
              <w:left w:color="808080" w:space="0" w:sz="6" w:val="single"/>
              <w:bottom w:color="808080" w:space="0" w:sz="6" w:val="single"/>
              <w:right w:color="808080" w:space="0" w:sz="6" w:val="single"/>
            </w:tcBorders>
            <w:shd w:fill="auto" w:val="clear"/>
            <w:tcMar>
              <w:left w:w="70.0" w:type="dxa"/>
              <w:right w:w="70.0" w:type="dxa"/>
            </w:tcMar>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No se requirió la actividad este mes.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8">
            <w:pPr>
              <w:widowControl w:val="1"/>
              <w:jc w:val="both"/>
              <w:rPr>
                <w:rFonts w:ascii="Arial" w:cs="Arial" w:eastAsia="Arial" w:hAnsi="Arial"/>
                <w:color w:val="000000"/>
              </w:rPr>
            </w:pPr>
            <w:r w:rsidDel="00000000" w:rsidR="00000000" w:rsidRPr="00000000">
              <w:rPr>
                <w:rFonts w:ascii="Arial" w:cs="Arial" w:eastAsia="Arial" w:hAnsi="Arial"/>
                <w:color w:val="000000"/>
                <w:rtl w:val="0"/>
              </w:rPr>
              <w:t xml:space="preserve">2.</w:t>
            </w:r>
            <w:r w:rsidDel="00000000" w:rsidR="00000000" w:rsidRPr="00000000">
              <w:rPr>
                <w:rtl w:val="0"/>
              </w:rPr>
              <w:t xml:space="preserve"> </w:t>
            </w:r>
            <w:r w:rsidDel="00000000" w:rsidR="00000000" w:rsidRPr="00000000">
              <w:rPr>
                <w:rFonts w:ascii="Arial" w:cs="Arial" w:eastAsia="Arial" w:hAnsi="Arial"/>
                <w:color w:val="000000"/>
                <w:rtl w:val="0"/>
              </w:rPr>
              <w:t xml:space="preserve">Participé en la mesa de trabajo con el equipo del SGC de la SDR para realizar seguimiento y ajustes al formato MEDE01.05.02.P027.F001 - Análisis y Planificación de Cambio como parte de la ejecución de los planes de mejoramiento de la auditoría interna del SGC 2025.</w:t>
            </w:r>
          </w:p>
          <w:p w:rsidR="00000000" w:rsidDel="00000000" w:rsidP="00000000" w:rsidRDefault="00000000" w:rsidRPr="00000000" w14:paraId="00000079">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7A">
            <w:pPr>
              <w:widowControl w:val="1"/>
              <w:jc w:val="both"/>
              <w:rPr>
                <w:rFonts w:ascii="Arial" w:cs="Arial" w:eastAsia="Arial" w:hAnsi="Arial"/>
                <w:color w:val="000000"/>
              </w:rPr>
            </w:pPr>
            <w:r w:rsidDel="00000000" w:rsidR="00000000" w:rsidRPr="00000000">
              <w:rPr>
                <w:rFonts w:ascii="Arial" w:cs="Arial" w:eastAsia="Arial" w:hAnsi="Arial"/>
                <w:color w:val="000000"/>
                <w:rtl w:val="0"/>
              </w:rPr>
              <w:t xml:space="preserve">2.1 Participé en la mesa de trabajo con los coordinadores y líderes responsables del mantenimiento del Sistema de Gestión de Calidad (SGC) en los programas de la Subsecretaría de Fomento, con el propósito de ejecutar la revisión documental conforme a los procedimientos establecidos para cada línea de servicio, alineados con los requisitos ISO 9001:2015 y definir lineamientos precisos para el cierre anual 2025, asegurando la evidencia de las herramientas de control y la ausencia total de documentación pendiente.</w:t>
            </w:r>
          </w:p>
          <w:p w:rsidR="00000000" w:rsidDel="00000000" w:rsidP="00000000" w:rsidRDefault="00000000" w:rsidRPr="00000000" w14:paraId="0000007B">
            <w:pPr>
              <w:widowControl w:val="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C">
            <w:pPr>
              <w:widowControl w:val="1"/>
              <w:jc w:val="both"/>
              <w:rPr>
                <w:rFonts w:ascii="Arial" w:cs="Arial" w:eastAsia="Arial" w:hAnsi="Arial"/>
                <w:color w:val="000000"/>
              </w:rPr>
            </w:pPr>
            <w:r w:rsidDel="00000000" w:rsidR="00000000" w:rsidRPr="00000000">
              <w:rPr>
                <w:rFonts w:ascii="Arial" w:cs="Arial" w:eastAsia="Arial" w:hAnsi="Arial"/>
                <w:color w:val="000000"/>
                <w:rtl w:val="0"/>
              </w:rPr>
              <w:t xml:space="preserve">3. No se requirió la actividad este mes </w:t>
            </w:r>
          </w:p>
          <w:p w:rsidR="00000000" w:rsidDel="00000000" w:rsidP="00000000" w:rsidRDefault="00000000" w:rsidRPr="00000000" w14:paraId="0000007D">
            <w:pPr>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E">
            <w:pPr>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F">
            <w:pPr>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0">
            <w:pPr>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1">
            <w:pPr>
              <w:widowControl w:val="1"/>
              <w:jc w:val="both"/>
              <w:rPr>
                <w:rFonts w:ascii="Arial" w:cs="Arial" w:eastAsia="Arial" w:hAnsi="Arial"/>
                <w:color w:val="000000"/>
              </w:rPr>
            </w:pPr>
            <w:r w:rsidDel="00000000" w:rsidR="00000000" w:rsidRPr="00000000">
              <w:rPr>
                <w:rFonts w:ascii="Arial" w:cs="Arial" w:eastAsia="Arial" w:hAnsi="Arial"/>
                <w:color w:val="000000"/>
                <w:rtl w:val="0"/>
              </w:rPr>
              <w:t xml:space="preserve">4. Brindé apoyo en la revisión de las salidas no conformes reportadas por los programas, a través de su plan de seguimiento, no solo documentó el progreso, sino que también analizó críticamente las deficiencias detectadas. De esta manera, logró tipificar con precisión cada hallazgo, diferenciando entre novedades y aquellos elementos críticos que se consideraban salidas no conformes.</w:t>
            </w:r>
          </w:p>
          <w:p w:rsidR="00000000" w:rsidDel="00000000" w:rsidP="00000000" w:rsidRDefault="00000000" w:rsidRPr="00000000" w14:paraId="00000082">
            <w:pPr>
              <w:widowControl w:val="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 Brindé soporte en la revisión diaria de la plataforma ORFEO, manteniendo actualizada la información y garantizando la gestión oportuna de los oficios, comunicaciones y solicitudes asignadas al equipo del Sistema de Gestión de la Calidad (SGC). </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5.1 Brindé apoyo en la revisión y radicación de las cuentas de cobro correspondientes a los equipos del Sistema de Gestión de la Calidad (SGC) y del Sistema de Gestión Integral de Residuos Sólidos (SGIRS), verificando el cumplimiento de los requisitos establecidos y asegurando la correcta presentación de los documentos.</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222"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7">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rtl w:val="0"/>
              </w:rPr>
              <w:t xml:space="preserve">MEDIO DE VERIFICACIÓN:</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Las evidencias de lo relacionado se encuentran en el siguiente link: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36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hyperlink r:id="rId7">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https://drive.google.com/drive/folders/1y1ZzjU2TW2QGaepY-jozABc3ipoRBxDT</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417"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401"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drawing>
                <wp:inline distB="114300" distT="114300" distL="114300" distR="114300">
                  <wp:extent cx="2095500" cy="740246"/>
                  <wp:effectExtent b="0" l="0" r="0" t="0"/>
                  <wp:docPr id="3" name="image1.png"/>
                  <a:graphic>
                    <a:graphicData uri="http://schemas.openxmlformats.org/drawingml/2006/picture">
                      <pic:pic>
                        <pic:nvPicPr>
                          <pic:cNvPr id="0" name="image1.png"/>
                          <pic:cNvPicPr preferRelativeResize="0"/>
                        </pic:nvPicPr>
                        <pic:blipFill>
                          <a:blip r:embed="rId8"/>
                          <a:srcRect b="43543" l="33403" r="56500" t="50062"/>
                          <a:stretch>
                            <a:fillRect/>
                          </a:stretch>
                        </pic:blipFill>
                        <pic:spPr>
                          <a:xfrm>
                            <a:off x="0" y="0"/>
                            <a:ext cx="2095500" cy="740246"/>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2">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FECHA DE TRANSACCIÓN: </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4">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Fonts w:ascii="Arial" w:cs="Arial" w:eastAsia="Arial" w:hAnsi="Arial"/>
                <w:color w:val="000000"/>
                <w:sz w:val="22"/>
                <w:szCs w:val="22"/>
                <w:rtl w:val="0"/>
              </w:rPr>
              <w:t xml:space="preserve">19/Dic/2025</w:t>
            </w:r>
            <w:r w:rsidDel="00000000" w:rsidR="00000000" w:rsidRPr="00000000">
              <w:rPr>
                <w:rtl w:val="0"/>
              </w:rPr>
            </w:r>
          </w:p>
        </w:tc>
      </w:tr>
    </w:tbl>
    <w:p w:rsidR="00000000" w:rsidDel="00000000" w:rsidP="00000000" w:rsidRDefault="00000000" w:rsidRPr="00000000" w14:paraId="00000095">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8">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9">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9A">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6">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7">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2">
    <w:name w:val="heading 2"/>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uiPriority w:val="99"/>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uiPriority w:val="99"/>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character" w:styleId="Hipervnculo">
    <w:name w:val="Hyperlink"/>
    <w:basedOn w:val="Fuentedeprrafopredeter"/>
    <w:uiPriority w:val="99"/>
    <w:unhideWhenUsed w:val="1"/>
    <w:rsid w:val="002679CD"/>
    <w:rPr>
      <w:color w:val="0563c1" w:themeColor="hyperlink"/>
      <w:u w:val="single"/>
    </w:rPr>
  </w:style>
  <w:style w:type="character" w:styleId="Mencinsinresolver">
    <w:name w:val="Unresolved Mention"/>
    <w:basedOn w:val="Fuentedeprrafopredeter"/>
    <w:uiPriority w:val="99"/>
    <w:semiHidden w:val="1"/>
    <w:unhideWhenUsed w:val="1"/>
    <w:rsid w:val="002679CD"/>
    <w:rPr>
      <w:color w:val="605e5c"/>
      <w:shd w:color="auto" w:fill="e1dfdd" w:val="clear"/>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character" w:styleId="Hipervnculovisitado">
    <w:name w:val="FollowedHyperlink"/>
    <w:basedOn w:val="Fuentedeprrafopredeter"/>
    <w:uiPriority w:val="99"/>
    <w:semiHidden w:val="1"/>
    <w:unhideWhenUsed w:val="1"/>
    <w:rsid w:val="008E554F"/>
    <w:rPr>
      <w:color w:val="954f72" w:themeColor="followed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y1ZzjU2TW2QGaepY-jozABc3ipoRBxDT"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yKc2LnjyuOy9kH6HLPHzAuwcZw==">CgMxLjA4AHIhMWc5b0FHUUhXdDVRV0xaRmgxZXBXMG40Wk5UcmpBNG5W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2025-06-06T04:28:00Z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